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3C07">
      <w:pPr>
        <w:spacing w:line="560" w:lineRule="exac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734B092E">
      <w:pPr>
        <w:autoSpaceDE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北京市智慧城市场景创新需求</w:t>
      </w:r>
      <w:bookmarkEnd w:id="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及联系方式</w:t>
      </w:r>
    </w:p>
    <w:tbl>
      <w:tblPr>
        <w:tblStyle w:val="14"/>
        <w:tblW w:w="13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59"/>
        <w:gridCol w:w="852"/>
        <w:gridCol w:w="2244"/>
        <w:gridCol w:w="4607"/>
        <w:gridCol w:w="3817"/>
        <w:gridCol w:w="993"/>
      </w:tblGrid>
      <w:tr w14:paraId="7FC7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E8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1F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10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场景开放单位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F2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场景描述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B8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场景现状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F7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场景创新点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18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lang w:bidi="ar"/>
              </w:rPr>
              <w:t>联系人</w:t>
            </w:r>
          </w:p>
        </w:tc>
      </w:tr>
      <w:tr w14:paraId="70A3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73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39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社区工作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效能提升与数据决策辅助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场景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中共北京市委社会工作部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围绕社会工作宏观管理与基层工作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高效服务需求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采用人工智能大模型技术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，基于9大核心业务知识库、12345市民热线等多源数据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社会工作综合智能系统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，面向基层端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通过智能问答、公文生成实现基层减负与治理规范化，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面向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决策端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通过智能问数、工单挖掘实现数据价值发现与隐性社会风险的提前感知。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一、背景情况</w:t>
            </w:r>
          </w:p>
          <w:p w14:paraId="50BE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社区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工作人员作为基层治理“神经末梢”，案头事务性工作负荷较高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，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一定程度限制服务效能发挥，同时，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精准把握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政策动态与业务流程标准的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能力仍待提升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；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管理决策层面，虽已归集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大量基础底数和工单数据，但多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静态展示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状态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，数据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交叉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调取与深度分析能力不足，数据要素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业务场景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融合支撑能力不足。</w:t>
            </w:r>
          </w:p>
          <w:p w14:paraId="0466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二、拟解决的问题</w:t>
            </w:r>
          </w:p>
          <w:p w14:paraId="3589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以大模型技术强化基层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标准化履职能力供给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，解决一线（尤其是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新入职人员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）服务输出标准化不足、政策传导精准度不够、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公文处理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效能偏低等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问题；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另一方面，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解决管理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决策端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跨部门数据融合难、高价值数据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应用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门槛高及隐性社会风险感知滞后的问题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，构建主动化、前瞻化基层治理新格局。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1.采用大模型多模态交互与语义理解能力，塑造基层服务的伴随式知识支撑。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在走访入户等基层办公场景，为工作人员提供智能导办、一句话问数、语音采集整理等核心功能，辅助调研材料预处理与智能校验，增强社区工作智力供给的场景化与问题导向。</w:t>
            </w:r>
          </w:p>
          <w:p w14:paraId="3C1E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2.通过语义聚类与关联分析算法，推进数据由静态向生产要素转变。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工单文本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分词处理与特征提取，管理高频词形成热度排行；利用语义聚类发现隐性矛盾热点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发挥统计数据的态势感知价值。</w:t>
            </w:r>
          </w:p>
          <w:p w14:paraId="53E8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3.结合社区工作特点，构建端到端语义高保值的治理链路。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加强“采集-分析”业务联动性，以语音交互降低采集门槛，在流转和研判环节充分挖掘语义数据价值，在输出端赋能业务标准化执行与导办指引，帮助社区工作从经验驱动向认知驱动转型。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1A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刘家豪13241293423</w:t>
            </w:r>
          </w:p>
          <w:p w14:paraId="622901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2072182332@qq.com</w:t>
            </w:r>
          </w:p>
        </w:tc>
      </w:tr>
      <w:tr w14:paraId="5C74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4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4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北京及周边地区强降水高精度AI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短临预报模型应用场景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市气象局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绕0-6小时极端天气精细化短临预报预警及防灾减灾需求，通过高分辨率无缝隙融合集成技术和人工智能建模等技术，融合S/C/X波段雷达、数值模式、自动站等数据，实现基于AI模型的雷达外推、数值模式与AI预报三功能融合，打造降水短临预报模型，提升分辨率至100米，实现强降水100米分辨率0-6小时短临预报精准化，</w:t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保障城市安全、提升治理效能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F4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3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背景情况</w:t>
            </w:r>
          </w:p>
          <w:p w14:paraId="51A2C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当前极端天气短临预报主要依赖雷达外推、数值预报及预报员经验等传统方法，数据维度和技术单一，降水预报产品分辨率难以达到百米级，难以捕捉强对流天气的快速演变与非线性特征，无法满足应急响应与防灾减灾的精细化需求。因此，迫切需要整合多源气象观测数据，借助无缝隙融合集成技术和先进的人工智能技术，研发极端天气降水短临预报模型系统，实现不同来源预报数据融合的百米级降水0-6小时预报。</w:t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二、拟解决的问题</w:t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1.分辨率不足：现有极端降水客观预报产品分辨率最高达500米，局地精细化程度不足。拟构建京津冀100米分辨率短临降水预报模型RISE-100系统。</w:t>
            </w:r>
          </w:p>
          <w:p w14:paraId="5264B8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2.AI模型时效短：现有灵犀AI短临预报模型仅覆盖0-3小时预报，预警提前时效不足。拟优化灵犀AI短临模型，并研发IUM-dSTNet AI模型及多模型对比。</w:t>
            </w:r>
          </w:p>
          <w:p w14:paraId="340456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3.数据源单一：现有模型多基于单一数据源，预报偏差大，缺乏融合分析和无缝隙集成预报。拟通过RISE-100模型和AI多模型的融合，整合雷达监测资料、自动站实况资料、物理模式预报数据、外推预报数据、AI模型预报数据，实现多维度数据融合集成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1.打造基于AI大模型的跨区域百米级0-6小时降水短临预报系统。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通过多模型对比、融合集成，提升预警时效，实现10分钟更新循环的高精度、长时效解决方案，探索基于上下游协同的京津冀降水短临预报模型。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2.强化多源气象数据耦合应用，构建融合分析与无缝隙集成预报能力。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提升预报交叉准确度，为首都应急处置提供精准决策支撑。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6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宋林烨15801142059</w:t>
            </w:r>
          </w:p>
          <w:p w14:paraId="304FE0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lysong@ium.cn</w:t>
            </w:r>
          </w:p>
        </w:tc>
      </w:tr>
      <w:tr w14:paraId="4986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F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C1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规自领域智能问答与专家画像大模型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BF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市规划自然资源委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围绕首都规划工作中多源信息整合利用不足、专家资源支撑能力不强等问题，通过建设底座数据智算系统，运用人工智能大模型等技术，构建规划智能问答和专家智库应用，推动规划信息高效融合、专家资源精准匹配，为首都规划重大问题研究和政策分析提供支撑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E4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一、背景情况</w:t>
            </w:r>
          </w:p>
          <w:p w14:paraId="34D7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随着首都规划工作的深入推进，规划相关各类信息快速积累，逐步形成了海量的跨部门、跨领域数据。随着首都规划重大问题战略研判工作全面开展，亟需通过智能化手段加强信息整合提升，进一步提升面向首都规划治理的工作效率和决策支撑能力。</w:t>
            </w:r>
          </w:p>
          <w:p w14:paraId="481B1F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二、拟解决的问题</w:t>
            </w:r>
          </w:p>
          <w:p w14:paraId="4647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解决规划政策研究主要依赖人工整理、问答支撑不足的问题。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面向政策研究和专题研判，建设规划问答能力，提高信息检索、知识整合和业务支撑效率。</w:t>
            </w:r>
          </w:p>
          <w:p w14:paraId="6BC3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解决专家资源分散、画像不清、观点提炼不够高效的问题。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面向专项研究和咨询组织，建设专家画像能力，实现专家资源动态管理、精准推荐和观点提炼。</w:t>
            </w:r>
          </w:p>
          <w:p w14:paraId="19F8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解决规划专有数据治理能力不足、底座支撑不统一的问题。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建设规划大模型底座，强化多源数据清洗治理、知识处理和统一智算服务能力，支撑规划问答、专家画像等场景应用。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构建面向城市规划体检的多类型更细分的向量库，结合元数据标注和知识图谱关联，增强检索与知识推理能力。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形成“需求拆解—智能体调度—数据交互—结果融合—决策转化”的首都规划和政策研究智能问答决策支持闭环，以自然语言交互赋能业务全流程场景，推动传统业务流程向数据驱动与智能协同的方向升级演进。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89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李雪雯</w:t>
            </w:r>
          </w:p>
          <w:p w14:paraId="232848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010-55594607</w:t>
            </w:r>
          </w:p>
          <w:p w14:paraId="2DBD2F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wangzhenyu@ghzrzyw.beijing.gov.cn</w:t>
            </w:r>
          </w:p>
        </w:tc>
      </w:tr>
    </w:tbl>
    <w:p w14:paraId="353C5CFC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838" w:h="11905" w:orient="landscape"/>
          <w:pgMar w:top="1803" w:right="1440" w:bottom="1803" w:left="1440" w:header="851" w:footer="992" w:gutter="0"/>
          <w:cols w:space="720" w:num="1"/>
          <w:docGrid w:type="lines" w:linePitch="325" w:charSpace="0"/>
        </w:sectPr>
      </w:pPr>
    </w:p>
    <w:p w14:paraId="3538A9FE">
      <w:pPr>
        <w:rPr>
          <w:rFonts w:ascii="Times New Roman" w:hAnsi="Times New Roma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486040-693C-4FEE-A7D8-F77825AB0D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B7937B-E666-4FA2-8704-C636AE5DB61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78E5756-DE83-4760-8DC0-15F3ACD0D84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4CAC2"/>
    <w:multiLevelType w:val="singleLevel"/>
    <w:tmpl w:val="91C4CA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C9C16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0D425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9E5BF5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4440</Words>
  <Characters>4683</Characters>
  <Lines>202</Lines>
  <Paragraphs>57</Paragraphs>
  <TotalTime>0</TotalTime>
  <ScaleCrop>false</ScaleCrop>
  <LinksUpToDate>false</LinksUpToDate>
  <CharactersWithSpaces>4687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2026-04-15T10:16:54Z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DDF19748369246489B737A45D8EF8603_13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